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60" w:lineRule="exact"/>
        <w:ind w:left="0" w:leftChars="0" w:right="0"/>
        <w:jc w:val="center"/>
        <w:textAlignment w:val="auto"/>
        <w:rPr>
          <w:rFonts w:hint="eastAsia" w:ascii="宋体" w:hAnsi="宋体" w:eastAsia="方正小标宋_GBK" w:cs="方正小标宋_GBK"/>
          <w:color w:val="auto"/>
          <w:spacing w:val="0"/>
          <w:kern w:val="0"/>
          <w:sz w:val="44"/>
          <w:szCs w:val="44"/>
          <w:highlight w:val="none"/>
          <w:lang w:val="en-US" w:eastAsia="zh-CN" w:bidi="ar-SA"/>
        </w:rPr>
      </w:pPr>
      <w:r>
        <w:rPr>
          <w:rFonts w:hint="eastAsia" w:ascii="宋体" w:hAnsi="宋体" w:eastAsia="方正小标宋_GBK" w:cs="方正小标宋_GBK"/>
          <w:color w:val="auto"/>
          <w:spacing w:val="0"/>
          <w:kern w:val="0"/>
          <w:sz w:val="44"/>
          <w:szCs w:val="44"/>
          <w:highlight w:val="none"/>
          <w:lang w:val="en-US" w:eastAsia="zh-CN" w:bidi="ar-SA"/>
        </w:rPr>
        <w:t>文山市工信商务局关于</w:t>
      </w:r>
      <w:r>
        <w:rPr>
          <w:rFonts w:hint="eastAsia" w:ascii="宋体" w:hAnsi="宋体" w:eastAsia="方正小标宋_GBK" w:cs="方正小标宋_GBK"/>
          <w:b w:val="0"/>
          <w:bCs w:val="0"/>
          <w:i w:val="0"/>
          <w:iCs w:val="0"/>
          <w:caps w:val="0"/>
          <w:color w:val="auto"/>
          <w:spacing w:val="0"/>
          <w:kern w:val="0"/>
          <w:sz w:val="44"/>
          <w:szCs w:val="44"/>
          <w:highlight w:val="none"/>
          <w:lang w:val="en-US" w:eastAsia="zh-CN" w:bidi="ar-SA"/>
        </w:rPr>
        <w:t>《</w:t>
      </w:r>
      <w:r>
        <w:rPr>
          <w:rFonts w:hint="eastAsia" w:ascii="宋体" w:hAnsi="宋体" w:eastAsia="方正小标宋_GBK" w:cs="方正小标宋_GBK"/>
          <w:color w:val="auto"/>
          <w:kern w:val="0"/>
          <w:sz w:val="44"/>
          <w:szCs w:val="44"/>
          <w:highlight w:val="none"/>
          <w:lang w:val="en-US" w:eastAsia="zh-CN" w:bidi="ar-SA"/>
        </w:rPr>
        <w:t>文山市促消费稳增长三年行动计划</w:t>
      </w:r>
      <w:r>
        <w:rPr>
          <w:rFonts w:hint="eastAsia" w:ascii="宋体" w:hAnsi="宋体" w:eastAsia="方正小标宋_GBK" w:cs="方正小标宋_GBK"/>
          <w:b w:val="0"/>
          <w:bCs w:val="0"/>
          <w:i w:val="0"/>
          <w:iCs w:val="0"/>
          <w:caps w:val="0"/>
          <w:color w:val="auto"/>
          <w:spacing w:val="0"/>
          <w:kern w:val="0"/>
          <w:sz w:val="44"/>
          <w:szCs w:val="44"/>
          <w:highlight w:val="none"/>
          <w:lang w:val="en-US" w:eastAsia="zh-CN" w:bidi="ar-SA"/>
        </w:rPr>
        <w:t>（2022—2024年）</w:t>
      </w:r>
      <w:r>
        <w:rPr>
          <w:rFonts w:hint="eastAsia" w:ascii="宋体" w:hAnsi="宋体" w:eastAsia="方正小标宋_GBK" w:cs="方正小标宋_GBK"/>
          <w:color w:val="auto"/>
          <w:spacing w:val="0"/>
          <w:kern w:val="0"/>
          <w:sz w:val="44"/>
          <w:szCs w:val="4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jc w:val="center"/>
        <w:textAlignment w:val="auto"/>
        <w:rPr>
          <w:rFonts w:hint="eastAsia" w:ascii="宋体" w:hAnsi="宋体" w:eastAsia="方正小标宋_GBK" w:cs="方正小标宋_GBK"/>
          <w:color w:val="auto"/>
          <w:spacing w:val="0"/>
          <w:kern w:val="0"/>
          <w:sz w:val="44"/>
          <w:szCs w:val="44"/>
          <w:highlight w:val="none"/>
          <w:lang w:val="en-US" w:eastAsia="zh-CN" w:bidi="ar-SA"/>
        </w:rPr>
      </w:pPr>
      <w:r>
        <w:rPr>
          <w:rFonts w:hint="eastAsia" w:ascii="宋体" w:hAnsi="宋体" w:eastAsia="方正小标宋_GBK" w:cs="方正小标宋_GBK"/>
          <w:color w:val="auto"/>
          <w:spacing w:val="0"/>
          <w:kern w:val="0"/>
          <w:sz w:val="44"/>
          <w:szCs w:val="44"/>
          <w:highlight w:val="none"/>
          <w:lang w:val="en-US" w:eastAsia="zh-CN" w:bidi="ar-SA"/>
        </w:rPr>
        <w:t>（征求意见稿）的起草说明</w:t>
      </w:r>
    </w:p>
    <w:p>
      <w:pPr>
        <w:keepNext w:val="0"/>
        <w:keepLines w:val="0"/>
        <w:pageBreakBefore w:val="0"/>
        <w:widowControl w:val="0"/>
        <w:pBdr>
          <w:bottom w:val="single" w:color="FFFFFF" w:sz="4" w:space="27"/>
        </w:pBdr>
        <w:kinsoku/>
        <w:wordWrap/>
        <w:overflowPunct/>
        <w:topLinePunct w:val="0"/>
        <w:autoSpaceDE/>
        <w:autoSpaceDN/>
        <w:bidi w:val="0"/>
        <w:adjustRightInd/>
        <w:snapToGrid/>
        <w:spacing w:line="560" w:lineRule="exact"/>
        <w:ind w:left="0" w:leftChars="0" w:right="0"/>
        <w:contextualSpacing/>
        <w:jc w:val="both"/>
        <w:textAlignment w:val="auto"/>
        <w:rPr>
          <w:rFonts w:hint="eastAsia" w:ascii="宋体" w:hAnsi="宋体" w:eastAsia="方正仿宋_GBK" w:cs="方正仿宋_GBK"/>
          <w:color w:val="auto"/>
          <w:kern w:val="0"/>
          <w:sz w:val="32"/>
          <w:szCs w:val="32"/>
          <w:highlight w:val="none"/>
          <w:lang w:val="en-US" w:eastAsia="zh-CN"/>
        </w:rPr>
      </w:pPr>
    </w:p>
    <w:p>
      <w:pPr>
        <w:keepNext w:val="0"/>
        <w:keepLines w:val="0"/>
        <w:pageBreakBefore w:val="0"/>
        <w:widowControl w:val="0"/>
        <w:numPr>
          <w:ilvl w:val="0"/>
          <w:numId w:val="0"/>
        </w:numPr>
        <w:pBdr>
          <w:bottom w:val="single" w:color="FFFFFF" w:sz="4" w:space="27"/>
        </w:pBdr>
        <w:kinsoku/>
        <w:wordWrap/>
        <w:overflowPunct/>
        <w:topLinePunct w:val="0"/>
        <w:autoSpaceDE/>
        <w:autoSpaceDN/>
        <w:bidi w:val="0"/>
        <w:adjustRightInd/>
        <w:snapToGrid/>
        <w:spacing w:line="560" w:lineRule="exact"/>
        <w:ind w:left="0" w:leftChars="0" w:right="0" w:firstLine="640"/>
        <w:contextualSpacing/>
        <w:jc w:val="both"/>
        <w:textAlignment w:val="auto"/>
        <w:rPr>
          <w:rFonts w:hint="eastAsia" w:ascii="宋体" w:hAnsi="宋体" w:eastAsia="方正仿宋_GBK" w:cs="方正仿宋_GBK"/>
          <w:color w:val="auto"/>
          <w:kern w:val="0"/>
          <w:sz w:val="32"/>
          <w:szCs w:val="32"/>
          <w:highlight w:val="none"/>
          <w:lang w:eastAsia="zh-CN"/>
        </w:rPr>
      </w:pPr>
      <w:r>
        <w:rPr>
          <w:rFonts w:hint="eastAsia" w:ascii="宋体" w:hAnsi="宋体" w:eastAsia="方正仿宋_GBK" w:cs="方正仿宋_GBK"/>
          <w:color w:val="auto"/>
          <w:kern w:val="0"/>
          <w:sz w:val="32"/>
          <w:szCs w:val="32"/>
          <w:highlight w:val="none"/>
          <w:lang w:val="en-US" w:eastAsia="zh-CN"/>
        </w:rPr>
        <w:t>为认真贯彻落实</w:t>
      </w:r>
      <w:r>
        <w:rPr>
          <w:rFonts w:hint="eastAsia" w:ascii="宋体" w:hAnsi="宋体" w:eastAsia="方正仿宋_GBK" w:cs="方正仿宋_GBK"/>
          <w:color w:val="000000"/>
          <w:kern w:val="0"/>
          <w:sz w:val="32"/>
          <w:szCs w:val="32"/>
          <w:highlight w:val="none"/>
          <w:lang w:val="en-US" w:eastAsia="zh-CN"/>
        </w:rPr>
        <w:t>《文山州促消费稳增长三年行动计划（2022—2024年）》</w:t>
      </w:r>
      <w:r>
        <w:rPr>
          <w:rFonts w:hint="eastAsia" w:ascii="宋体" w:hAnsi="宋体" w:eastAsia="方正仿宋_GBK" w:cs="方正仿宋_GBK"/>
          <w:i w:val="0"/>
          <w:iCs w:val="0"/>
          <w:caps w:val="0"/>
          <w:color w:val="auto"/>
          <w:spacing w:val="0"/>
          <w:kern w:val="0"/>
          <w:sz w:val="32"/>
          <w:szCs w:val="32"/>
          <w:highlight w:val="none"/>
        </w:rPr>
        <w:t>（</w:t>
      </w:r>
      <w:r>
        <w:rPr>
          <w:rFonts w:hint="eastAsia" w:ascii="宋体" w:hAnsi="宋体" w:eastAsia="方正仿宋_GBK" w:cs="方正仿宋_GBK"/>
          <w:i w:val="0"/>
          <w:iCs w:val="0"/>
          <w:caps w:val="0"/>
          <w:color w:val="auto"/>
          <w:spacing w:val="0"/>
          <w:kern w:val="0"/>
          <w:sz w:val="32"/>
          <w:szCs w:val="32"/>
          <w:highlight w:val="none"/>
          <w:lang w:eastAsia="zh-CN"/>
        </w:rPr>
        <w:t>文政</w:t>
      </w:r>
      <w:r>
        <w:rPr>
          <w:rFonts w:hint="eastAsia" w:ascii="宋体" w:hAnsi="宋体" w:eastAsia="方正仿宋_GBK" w:cs="方正仿宋_GBK"/>
          <w:i w:val="0"/>
          <w:iCs w:val="0"/>
          <w:caps w:val="0"/>
          <w:color w:val="auto"/>
          <w:spacing w:val="0"/>
          <w:kern w:val="0"/>
          <w:sz w:val="32"/>
          <w:szCs w:val="32"/>
          <w:highlight w:val="none"/>
        </w:rPr>
        <w:t>办发〔2022〕</w:t>
      </w:r>
      <w:r>
        <w:rPr>
          <w:rFonts w:hint="eastAsia" w:ascii="宋体" w:hAnsi="宋体" w:eastAsia="方正仿宋_GBK" w:cs="方正仿宋_GBK"/>
          <w:i w:val="0"/>
          <w:iCs w:val="0"/>
          <w:caps w:val="0"/>
          <w:color w:val="auto"/>
          <w:spacing w:val="0"/>
          <w:kern w:val="0"/>
          <w:sz w:val="32"/>
          <w:szCs w:val="32"/>
          <w:highlight w:val="none"/>
          <w:lang w:val="en-US" w:eastAsia="zh-CN"/>
        </w:rPr>
        <w:t>179</w:t>
      </w:r>
      <w:r>
        <w:rPr>
          <w:rFonts w:hint="eastAsia" w:ascii="宋体" w:hAnsi="宋体" w:eastAsia="方正仿宋_GBK" w:cs="方正仿宋_GBK"/>
          <w:i w:val="0"/>
          <w:iCs w:val="0"/>
          <w:caps w:val="0"/>
          <w:color w:val="auto"/>
          <w:spacing w:val="0"/>
          <w:kern w:val="0"/>
          <w:sz w:val="32"/>
          <w:szCs w:val="32"/>
          <w:highlight w:val="none"/>
        </w:rPr>
        <w:t>号）</w:t>
      </w:r>
      <w:r>
        <w:rPr>
          <w:rFonts w:hint="eastAsia" w:ascii="宋体" w:hAnsi="宋体" w:eastAsia="方正仿宋_GBK" w:cs="方正仿宋_GBK"/>
          <w:i w:val="0"/>
          <w:iCs w:val="0"/>
          <w:caps w:val="0"/>
          <w:color w:val="auto"/>
          <w:spacing w:val="0"/>
          <w:kern w:val="0"/>
          <w:sz w:val="32"/>
          <w:szCs w:val="32"/>
          <w:highlight w:val="none"/>
          <w:lang w:eastAsia="zh-CN"/>
        </w:rPr>
        <w:t>，按照市人民政府批示，市工信商务局结合实际，</w:t>
      </w:r>
      <w:r>
        <w:rPr>
          <w:rFonts w:hint="eastAsia" w:ascii="宋体" w:hAnsi="宋体" w:eastAsia="方正仿宋_GBK" w:cs="方正仿宋_GBK"/>
          <w:color w:val="auto"/>
          <w:kern w:val="0"/>
          <w:sz w:val="32"/>
          <w:szCs w:val="32"/>
          <w:highlight w:val="none"/>
          <w:lang w:eastAsia="zh-CN"/>
        </w:rPr>
        <w:t>代拟了《</w:t>
      </w:r>
      <w:r>
        <w:rPr>
          <w:rFonts w:hint="eastAsia" w:ascii="宋体" w:hAnsi="宋体" w:eastAsia="方正仿宋_GBK" w:cs="方正仿宋_GBK"/>
          <w:i w:val="0"/>
          <w:iCs w:val="0"/>
          <w:caps w:val="0"/>
          <w:color w:val="auto"/>
          <w:spacing w:val="0"/>
          <w:kern w:val="0"/>
          <w:sz w:val="32"/>
          <w:szCs w:val="32"/>
          <w:highlight w:val="none"/>
          <w:lang w:eastAsia="zh-CN"/>
        </w:rPr>
        <w:t>文山市促消费稳增长三年行动计划（</w:t>
      </w:r>
      <w:r>
        <w:rPr>
          <w:rFonts w:hint="eastAsia" w:ascii="宋体" w:hAnsi="宋体" w:eastAsia="方正仿宋_GBK" w:cs="方正仿宋_GBK"/>
          <w:i w:val="0"/>
          <w:iCs w:val="0"/>
          <w:caps w:val="0"/>
          <w:color w:val="auto"/>
          <w:spacing w:val="0"/>
          <w:kern w:val="0"/>
          <w:sz w:val="32"/>
          <w:szCs w:val="32"/>
          <w:highlight w:val="none"/>
          <w:lang w:val="en-US" w:eastAsia="zh-CN"/>
        </w:rPr>
        <w:t>2022-2024年</w:t>
      </w:r>
      <w:r>
        <w:rPr>
          <w:rFonts w:hint="eastAsia" w:ascii="宋体" w:hAnsi="宋体" w:eastAsia="方正仿宋_GBK" w:cs="方正仿宋_GBK"/>
          <w:i w:val="0"/>
          <w:iCs w:val="0"/>
          <w:caps w:val="0"/>
          <w:color w:val="auto"/>
          <w:spacing w:val="0"/>
          <w:kern w:val="0"/>
          <w:sz w:val="32"/>
          <w:szCs w:val="32"/>
          <w:highlight w:val="none"/>
          <w:lang w:eastAsia="zh-CN"/>
        </w:rPr>
        <w:t>）</w:t>
      </w:r>
      <w:r>
        <w:rPr>
          <w:rFonts w:hint="eastAsia" w:ascii="宋体" w:hAnsi="宋体" w:eastAsia="方正仿宋_GBK" w:cs="方正仿宋_GBK"/>
          <w:color w:val="auto"/>
          <w:kern w:val="0"/>
          <w:sz w:val="32"/>
          <w:szCs w:val="32"/>
          <w:highlight w:val="none"/>
          <w:lang w:eastAsia="zh-CN"/>
        </w:rPr>
        <w:t>（送审稿）》，现将起草情况作简要说明。</w:t>
      </w:r>
    </w:p>
    <w:p>
      <w:pPr>
        <w:keepNext w:val="0"/>
        <w:keepLines w:val="0"/>
        <w:pageBreakBefore w:val="0"/>
        <w:widowControl w:val="0"/>
        <w:pBdr>
          <w:bottom w:val="single" w:color="FFFFFF" w:sz="4" w:space="27"/>
        </w:pBdr>
        <w:kinsoku/>
        <w:wordWrap/>
        <w:overflowPunct/>
        <w:topLinePunct w:val="0"/>
        <w:autoSpaceDE/>
        <w:autoSpaceDN/>
        <w:bidi w:val="0"/>
        <w:adjustRightInd/>
        <w:snapToGrid/>
        <w:spacing w:line="560" w:lineRule="exact"/>
        <w:ind w:left="0" w:leftChars="0" w:right="0" w:firstLine="640" w:firstLineChars="200"/>
        <w:contextualSpacing/>
        <w:jc w:val="both"/>
        <w:textAlignment w:val="auto"/>
        <w:rPr>
          <w:rFonts w:hint="eastAsia" w:ascii="宋体" w:hAnsi="宋体" w:eastAsia="方正黑体_GBK" w:cs="方正黑体_GBK"/>
          <w:color w:val="auto"/>
          <w:kern w:val="0"/>
          <w:sz w:val="32"/>
          <w:szCs w:val="32"/>
          <w:highlight w:val="none"/>
          <w:lang w:eastAsia="zh-CN"/>
        </w:rPr>
      </w:pPr>
      <w:r>
        <w:rPr>
          <w:rFonts w:hint="eastAsia" w:ascii="宋体" w:hAnsi="宋体" w:eastAsia="方正黑体_GBK" w:cs="方正黑体_GBK"/>
          <w:color w:val="auto"/>
          <w:kern w:val="0"/>
          <w:sz w:val="32"/>
          <w:szCs w:val="32"/>
          <w:highlight w:val="none"/>
          <w:lang w:eastAsia="zh-CN"/>
        </w:rPr>
        <w:t>一、起草依据</w:t>
      </w:r>
    </w:p>
    <w:p>
      <w:pPr>
        <w:keepNext w:val="0"/>
        <w:keepLines w:val="0"/>
        <w:pageBreakBefore w:val="0"/>
        <w:widowControl w:val="0"/>
        <w:numPr>
          <w:ilvl w:val="0"/>
          <w:numId w:val="0"/>
        </w:numPr>
        <w:pBdr>
          <w:bottom w:val="single" w:color="FFFFFF" w:sz="4" w:space="27"/>
        </w:pBdr>
        <w:kinsoku/>
        <w:wordWrap/>
        <w:overflowPunct/>
        <w:topLinePunct w:val="0"/>
        <w:autoSpaceDE/>
        <w:autoSpaceDN/>
        <w:bidi w:val="0"/>
        <w:adjustRightInd/>
        <w:snapToGrid/>
        <w:spacing w:line="560" w:lineRule="exact"/>
        <w:ind w:left="0" w:leftChars="0" w:right="0" w:firstLine="640" w:firstLineChars="200"/>
        <w:contextualSpacing/>
        <w:jc w:val="both"/>
        <w:textAlignment w:val="auto"/>
        <w:rPr>
          <w:rFonts w:hint="eastAsia" w:ascii="宋体" w:hAnsi="宋体" w:eastAsia="方正仿宋_GBK" w:cs="方正仿宋_GBK"/>
          <w:i w:val="0"/>
          <w:iCs w:val="0"/>
          <w:caps w:val="0"/>
          <w:color w:val="auto"/>
          <w:spacing w:val="0"/>
          <w:kern w:val="0"/>
          <w:sz w:val="32"/>
          <w:szCs w:val="32"/>
          <w:highlight w:val="none"/>
          <w:lang w:eastAsia="zh-CN"/>
        </w:rPr>
      </w:pPr>
      <w:r>
        <w:rPr>
          <w:rFonts w:hint="eastAsia" w:ascii="宋体" w:hAnsi="宋体" w:eastAsia="方正仿宋_GBK" w:cs="方正仿宋_GBK"/>
          <w:color w:val="auto"/>
          <w:kern w:val="0"/>
          <w:sz w:val="32"/>
          <w:szCs w:val="32"/>
          <w:highlight w:val="none"/>
          <w:lang w:val="en-US" w:eastAsia="zh-CN"/>
        </w:rPr>
        <w:t>依据</w:t>
      </w:r>
      <w:r>
        <w:rPr>
          <w:rFonts w:hint="eastAsia" w:ascii="宋体" w:hAnsi="宋体" w:eastAsia="方正仿宋_GBK" w:cs="方正仿宋_GBK"/>
          <w:color w:val="000000"/>
          <w:kern w:val="0"/>
          <w:sz w:val="32"/>
          <w:szCs w:val="32"/>
          <w:highlight w:val="none"/>
          <w:lang w:val="en-US" w:eastAsia="zh-CN"/>
        </w:rPr>
        <w:t>《文山州促消费稳增长三年行动计划（2022—2024年）》（文政办发〔2022〕179号）文件</w:t>
      </w:r>
      <w:r>
        <w:rPr>
          <w:rFonts w:hint="eastAsia" w:ascii="宋体" w:hAnsi="宋体" w:eastAsia="方正仿宋_GBK" w:cs="方正仿宋_GBK"/>
          <w:i w:val="0"/>
          <w:iCs w:val="0"/>
          <w:caps w:val="0"/>
          <w:color w:val="auto"/>
          <w:spacing w:val="0"/>
          <w:kern w:val="0"/>
          <w:sz w:val="32"/>
          <w:szCs w:val="32"/>
          <w:highlight w:val="none"/>
          <w:lang w:eastAsia="zh-CN"/>
        </w:rPr>
        <w:t>，要求各县市制定出台具体工作措施，有力行动，确保落实。</w:t>
      </w:r>
    </w:p>
    <w:p>
      <w:pPr>
        <w:keepNext w:val="0"/>
        <w:keepLines w:val="0"/>
        <w:pageBreakBefore w:val="0"/>
        <w:widowControl w:val="0"/>
        <w:numPr>
          <w:ilvl w:val="0"/>
          <w:numId w:val="0"/>
        </w:numPr>
        <w:pBdr>
          <w:bottom w:val="single" w:color="FFFFFF" w:sz="4" w:space="27"/>
        </w:pBdr>
        <w:kinsoku/>
        <w:wordWrap/>
        <w:overflowPunct/>
        <w:topLinePunct w:val="0"/>
        <w:autoSpaceDE/>
        <w:autoSpaceDN/>
        <w:bidi w:val="0"/>
        <w:adjustRightInd/>
        <w:snapToGrid/>
        <w:spacing w:line="560" w:lineRule="exact"/>
        <w:ind w:left="0" w:leftChars="0" w:right="0" w:firstLine="640" w:firstLineChars="200"/>
        <w:contextualSpacing/>
        <w:jc w:val="both"/>
        <w:textAlignment w:val="auto"/>
        <w:rPr>
          <w:rFonts w:hint="eastAsia" w:ascii="宋体" w:hAnsi="宋体" w:eastAsia="方正黑体_GBK" w:cs="方正黑体_GBK"/>
          <w:color w:val="auto"/>
          <w:kern w:val="0"/>
          <w:sz w:val="32"/>
          <w:szCs w:val="32"/>
          <w:highlight w:val="none"/>
          <w:lang w:eastAsia="zh-CN"/>
        </w:rPr>
      </w:pPr>
      <w:r>
        <w:rPr>
          <w:rFonts w:hint="eastAsia" w:ascii="宋体" w:hAnsi="宋体" w:eastAsia="方正黑体_GBK" w:cs="方正黑体_GBK"/>
          <w:color w:val="auto"/>
          <w:kern w:val="0"/>
          <w:sz w:val="32"/>
          <w:szCs w:val="32"/>
          <w:highlight w:val="none"/>
          <w:lang w:eastAsia="zh-CN"/>
        </w:rPr>
        <w:t>二、起草过程</w:t>
      </w:r>
    </w:p>
    <w:p>
      <w:pPr>
        <w:keepNext w:val="0"/>
        <w:keepLines w:val="0"/>
        <w:pageBreakBefore w:val="0"/>
        <w:widowControl w:val="0"/>
        <w:numPr>
          <w:ilvl w:val="0"/>
          <w:numId w:val="0"/>
        </w:numPr>
        <w:pBdr>
          <w:bottom w:val="single" w:color="FFFFFF" w:sz="4" w:space="27"/>
        </w:pBdr>
        <w:kinsoku/>
        <w:wordWrap/>
        <w:overflowPunct/>
        <w:topLinePunct w:val="0"/>
        <w:autoSpaceDE/>
        <w:autoSpaceDN/>
        <w:bidi w:val="0"/>
        <w:adjustRightInd/>
        <w:snapToGrid/>
        <w:spacing w:line="560" w:lineRule="exact"/>
        <w:ind w:left="0" w:leftChars="0" w:right="0" w:firstLine="640" w:firstLineChars="200"/>
        <w:contextualSpacing/>
        <w:jc w:val="both"/>
        <w:textAlignment w:val="auto"/>
        <w:rPr>
          <w:rFonts w:hint="eastAsia" w:ascii="宋体" w:hAnsi="宋体" w:eastAsia="方正仿宋_GBK" w:cs="方正仿宋_GBK"/>
          <w:i w:val="0"/>
          <w:iCs w:val="0"/>
          <w:caps w:val="0"/>
          <w:color w:val="auto"/>
          <w:spacing w:val="0"/>
          <w:kern w:val="0"/>
          <w:sz w:val="32"/>
          <w:szCs w:val="32"/>
          <w:highlight w:val="none"/>
          <w:lang w:eastAsia="zh-CN"/>
        </w:rPr>
      </w:pPr>
      <w:r>
        <w:rPr>
          <w:rFonts w:hint="eastAsia" w:ascii="宋体" w:hAnsi="宋体" w:eastAsia="方正仿宋_GBK" w:cs="方正仿宋_GBK"/>
          <w:i w:val="0"/>
          <w:iCs w:val="0"/>
          <w:caps w:val="0"/>
          <w:color w:val="auto"/>
          <w:spacing w:val="0"/>
          <w:kern w:val="0"/>
          <w:sz w:val="32"/>
          <w:szCs w:val="32"/>
          <w:highlight w:val="none"/>
          <w:lang w:eastAsia="zh-CN"/>
        </w:rPr>
        <w:t>根据市人民政府领导</w:t>
      </w:r>
      <w:bookmarkStart w:id="0" w:name="_GoBack"/>
      <w:bookmarkEnd w:id="0"/>
      <w:r>
        <w:rPr>
          <w:rFonts w:hint="eastAsia" w:ascii="宋体" w:hAnsi="宋体" w:eastAsia="方正仿宋_GBK" w:cs="方正仿宋_GBK"/>
          <w:i w:val="0"/>
          <w:iCs w:val="0"/>
          <w:caps w:val="0"/>
          <w:color w:val="auto"/>
          <w:spacing w:val="0"/>
          <w:kern w:val="0"/>
          <w:sz w:val="32"/>
          <w:szCs w:val="32"/>
          <w:highlight w:val="none"/>
          <w:lang w:eastAsia="zh-CN"/>
        </w:rPr>
        <w:t>批示，市工信商务局牵头起草</w:t>
      </w:r>
      <w:r>
        <w:rPr>
          <w:rFonts w:hint="eastAsia" w:ascii="宋体" w:hAnsi="宋体" w:eastAsia="方正仿宋_GBK" w:cs="方正仿宋_GBK"/>
          <w:color w:val="auto"/>
          <w:kern w:val="0"/>
          <w:sz w:val="32"/>
          <w:szCs w:val="32"/>
          <w:highlight w:val="none"/>
          <w:lang w:eastAsia="zh-CN"/>
        </w:rPr>
        <w:t>《</w:t>
      </w:r>
      <w:r>
        <w:rPr>
          <w:rFonts w:hint="eastAsia" w:ascii="宋体" w:hAnsi="宋体" w:eastAsia="方正仿宋_GBK" w:cs="方正仿宋_GBK"/>
          <w:i w:val="0"/>
          <w:iCs w:val="0"/>
          <w:caps w:val="0"/>
          <w:color w:val="auto"/>
          <w:spacing w:val="0"/>
          <w:kern w:val="0"/>
          <w:sz w:val="32"/>
          <w:szCs w:val="32"/>
          <w:highlight w:val="none"/>
          <w:lang w:eastAsia="zh-CN"/>
        </w:rPr>
        <w:t>文山市促消费稳增长三年行动计划（</w:t>
      </w:r>
      <w:r>
        <w:rPr>
          <w:rFonts w:hint="eastAsia" w:ascii="宋体" w:hAnsi="宋体" w:eastAsia="方正仿宋_GBK" w:cs="方正仿宋_GBK"/>
          <w:i w:val="0"/>
          <w:iCs w:val="0"/>
          <w:caps w:val="0"/>
          <w:color w:val="auto"/>
          <w:spacing w:val="0"/>
          <w:kern w:val="0"/>
          <w:sz w:val="32"/>
          <w:szCs w:val="32"/>
          <w:highlight w:val="none"/>
          <w:lang w:val="en-US" w:eastAsia="zh-CN"/>
        </w:rPr>
        <w:t>2022</w:t>
      </w:r>
      <w:r>
        <w:rPr>
          <w:rFonts w:hint="eastAsia" w:ascii="宋体" w:hAnsi="宋体" w:eastAsia="方正仿宋_GBK" w:cs="方正仿宋_GBK"/>
          <w:color w:val="000000"/>
          <w:kern w:val="0"/>
          <w:sz w:val="32"/>
          <w:szCs w:val="32"/>
          <w:highlight w:val="none"/>
          <w:lang w:val="en-US" w:eastAsia="zh-CN"/>
        </w:rPr>
        <w:t>—</w:t>
      </w:r>
      <w:r>
        <w:rPr>
          <w:rFonts w:hint="eastAsia" w:ascii="宋体" w:hAnsi="宋体" w:eastAsia="方正仿宋_GBK" w:cs="方正仿宋_GBK"/>
          <w:i w:val="0"/>
          <w:iCs w:val="0"/>
          <w:caps w:val="0"/>
          <w:color w:val="auto"/>
          <w:spacing w:val="0"/>
          <w:kern w:val="0"/>
          <w:sz w:val="32"/>
          <w:szCs w:val="32"/>
          <w:highlight w:val="none"/>
          <w:lang w:val="en-US" w:eastAsia="zh-CN"/>
        </w:rPr>
        <w:t>2024年</w:t>
      </w:r>
      <w:r>
        <w:rPr>
          <w:rFonts w:hint="eastAsia" w:ascii="宋体" w:hAnsi="宋体" w:eastAsia="方正仿宋_GBK" w:cs="方正仿宋_GBK"/>
          <w:i w:val="0"/>
          <w:iCs w:val="0"/>
          <w:caps w:val="0"/>
          <w:color w:val="auto"/>
          <w:spacing w:val="0"/>
          <w:kern w:val="0"/>
          <w:sz w:val="32"/>
          <w:szCs w:val="32"/>
          <w:highlight w:val="none"/>
          <w:lang w:eastAsia="zh-CN"/>
        </w:rPr>
        <w:t>）</w:t>
      </w:r>
      <w:r>
        <w:rPr>
          <w:rFonts w:hint="eastAsia" w:ascii="宋体" w:hAnsi="宋体" w:eastAsia="方正仿宋_GBK" w:cs="方正仿宋_GBK"/>
          <w:color w:val="auto"/>
          <w:kern w:val="0"/>
          <w:sz w:val="32"/>
          <w:szCs w:val="32"/>
          <w:highlight w:val="none"/>
          <w:lang w:eastAsia="zh-CN"/>
        </w:rPr>
        <w:t>》初稿，</w:t>
      </w:r>
      <w:r>
        <w:rPr>
          <w:rFonts w:hint="eastAsia" w:ascii="宋体" w:hAnsi="宋体" w:eastAsia="方正仿宋_GBK" w:cs="方正仿宋_GBK"/>
          <w:i w:val="0"/>
          <w:iCs w:val="0"/>
          <w:caps w:val="0"/>
          <w:color w:val="auto"/>
          <w:spacing w:val="0"/>
          <w:kern w:val="0"/>
          <w:sz w:val="32"/>
          <w:szCs w:val="32"/>
          <w:highlight w:val="none"/>
          <w:lang w:eastAsia="zh-CN"/>
        </w:rPr>
        <w:t>已向有关部门和社会公开征求意见建议，开展专家评审，进一步修改完善，形成《文山市促消费稳增长三年行动计划（</w:t>
      </w:r>
      <w:r>
        <w:rPr>
          <w:rFonts w:hint="eastAsia" w:ascii="宋体" w:hAnsi="宋体" w:eastAsia="方正仿宋_GBK" w:cs="方正仿宋_GBK"/>
          <w:i w:val="0"/>
          <w:iCs w:val="0"/>
          <w:caps w:val="0"/>
          <w:color w:val="auto"/>
          <w:spacing w:val="0"/>
          <w:kern w:val="0"/>
          <w:sz w:val="32"/>
          <w:szCs w:val="32"/>
          <w:highlight w:val="none"/>
          <w:lang w:val="en-US" w:eastAsia="zh-CN"/>
        </w:rPr>
        <w:t>2022</w:t>
      </w:r>
      <w:r>
        <w:rPr>
          <w:rFonts w:hint="eastAsia" w:ascii="宋体" w:hAnsi="宋体" w:eastAsia="方正仿宋_GBK" w:cs="方正仿宋_GBK"/>
          <w:color w:val="000000"/>
          <w:kern w:val="0"/>
          <w:sz w:val="32"/>
          <w:szCs w:val="32"/>
          <w:highlight w:val="none"/>
          <w:lang w:val="en-US" w:eastAsia="zh-CN"/>
        </w:rPr>
        <w:t>—</w:t>
      </w:r>
      <w:r>
        <w:rPr>
          <w:rFonts w:hint="eastAsia" w:ascii="宋体" w:hAnsi="宋体" w:eastAsia="方正仿宋_GBK" w:cs="方正仿宋_GBK"/>
          <w:i w:val="0"/>
          <w:iCs w:val="0"/>
          <w:caps w:val="0"/>
          <w:color w:val="auto"/>
          <w:spacing w:val="0"/>
          <w:kern w:val="0"/>
          <w:sz w:val="32"/>
          <w:szCs w:val="32"/>
          <w:highlight w:val="none"/>
          <w:lang w:val="en-US" w:eastAsia="zh-CN"/>
        </w:rPr>
        <w:t>2024年</w:t>
      </w:r>
      <w:r>
        <w:rPr>
          <w:rFonts w:hint="eastAsia" w:ascii="宋体" w:hAnsi="宋体" w:eastAsia="方正仿宋_GBK" w:cs="方正仿宋_GBK"/>
          <w:i w:val="0"/>
          <w:iCs w:val="0"/>
          <w:caps w:val="0"/>
          <w:color w:val="auto"/>
          <w:spacing w:val="0"/>
          <w:kern w:val="0"/>
          <w:sz w:val="32"/>
          <w:szCs w:val="32"/>
          <w:highlight w:val="none"/>
          <w:lang w:eastAsia="zh-CN"/>
        </w:rPr>
        <w:t>）（送审稿）》后上报市人民政府审定引发。</w:t>
      </w:r>
    </w:p>
    <w:p>
      <w:pPr>
        <w:keepNext w:val="0"/>
        <w:keepLines w:val="0"/>
        <w:pageBreakBefore w:val="0"/>
        <w:widowControl w:val="0"/>
        <w:numPr>
          <w:ilvl w:val="0"/>
          <w:numId w:val="0"/>
        </w:numPr>
        <w:pBdr>
          <w:bottom w:val="single" w:color="FFFFFF" w:sz="4" w:space="27"/>
        </w:pBdr>
        <w:kinsoku/>
        <w:wordWrap/>
        <w:overflowPunct/>
        <w:topLinePunct w:val="0"/>
        <w:autoSpaceDE/>
        <w:autoSpaceDN/>
        <w:bidi w:val="0"/>
        <w:adjustRightInd/>
        <w:snapToGrid/>
        <w:spacing w:line="560" w:lineRule="exact"/>
        <w:ind w:left="0" w:leftChars="0" w:right="0" w:firstLine="640" w:firstLineChars="200"/>
        <w:contextualSpacing/>
        <w:jc w:val="both"/>
        <w:textAlignment w:val="auto"/>
        <w:rPr>
          <w:rFonts w:hint="eastAsia" w:ascii="宋体" w:hAnsi="宋体" w:eastAsia="方正仿宋_GBK" w:cs="方正仿宋_GBK"/>
          <w:b w:val="0"/>
          <w:bCs w:val="0"/>
          <w:color w:val="auto"/>
          <w:kern w:val="0"/>
          <w:sz w:val="32"/>
          <w:szCs w:val="32"/>
          <w:highlight w:val="none"/>
          <w:lang w:val="en-US" w:eastAsia="zh-CN"/>
        </w:rPr>
      </w:pPr>
      <w:r>
        <w:rPr>
          <w:rFonts w:hint="eastAsia" w:ascii="宋体" w:hAnsi="宋体" w:eastAsia="方正黑体_GBK" w:cs="方正黑体_GBK"/>
          <w:color w:val="auto"/>
          <w:kern w:val="0"/>
          <w:sz w:val="32"/>
          <w:szCs w:val="32"/>
          <w:highlight w:val="none"/>
          <w:lang w:val="en-US" w:eastAsia="zh-CN"/>
        </w:rPr>
        <w:t>三、重复率说明</w:t>
      </w:r>
    </w:p>
    <w:p>
      <w:pPr>
        <w:keepNext w:val="0"/>
        <w:keepLines w:val="0"/>
        <w:pageBreakBefore w:val="0"/>
        <w:widowControl w:val="0"/>
        <w:numPr>
          <w:ilvl w:val="0"/>
          <w:numId w:val="0"/>
        </w:numPr>
        <w:pBdr>
          <w:bottom w:val="single" w:color="FFFFFF" w:sz="4" w:space="27"/>
        </w:pBdr>
        <w:kinsoku/>
        <w:wordWrap/>
        <w:overflowPunct/>
        <w:topLinePunct w:val="0"/>
        <w:autoSpaceDE/>
        <w:autoSpaceDN/>
        <w:bidi w:val="0"/>
        <w:adjustRightInd/>
        <w:snapToGrid/>
        <w:spacing w:line="560" w:lineRule="exact"/>
        <w:ind w:left="0" w:leftChars="0" w:right="0" w:firstLine="640" w:firstLineChars="200"/>
        <w:contextualSpacing/>
        <w:jc w:val="both"/>
        <w:textAlignment w:val="auto"/>
        <w:rPr>
          <w:rFonts w:hint="eastAsia" w:ascii="宋体" w:hAnsi="宋体" w:eastAsia="方正仿宋_GBK" w:cs="方正仿宋_GBK"/>
          <w:b w:val="0"/>
          <w:bCs w:val="0"/>
          <w:color w:val="auto"/>
          <w:kern w:val="0"/>
          <w:sz w:val="32"/>
          <w:szCs w:val="32"/>
          <w:highlight w:val="none"/>
          <w:lang w:val="en-US" w:eastAsia="zh-CN"/>
        </w:rPr>
      </w:pPr>
      <w:r>
        <w:rPr>
          <w:rFonts w:hint="eastAsia" w:ascii="宋体" w:hAnsi="宋体" w:eastAsia="方正仿宋_GBK" w:cs="方正仿宋_GBK"/>
          <w:b w:val="0"/>
          <w:bCs w:val="0"/>
          <w:color w:val="auto"/>
          <w:kern w:val="0"/>
          <w:sz w:val="32"/>
          <w:szCs w:val="32"/>
          <w:highlight w:val="none"/>
          <w:lang w:val="en-US" w:eastAsia="zh-CN"/>
        </w:rPr>
        <w:t>本行动计划22条主要任务内容与州行动计划</w:t>
      </w:r>
      <w:r>
        <w:rPr>
          <w:rFonts w:hint="eastAsia" w:ascii="宋体" w:hAnsi="宋体" w:eastAsia="方正仿宋_GBK" w:cs="方正仿宋_GBK"/>
          <w:b w:val="0"/>
          <w:bCs w:val="0"/>
          <w:i w:val="0"/>
          <w:iCs w:val="0"/>
          <w:caps w:val="0"/>
          <w:color w:val="000000"/>
          <w:spacing w:val="0"/>
          <w:kern w:val="0"/>
          <w:sz w:val="32"/>
          <w:szCs w:val="32"/>
          <w:highlight w:val="none"/>
          <w:lang w:val="en-US" w:eastAsia="zh-CN"/>
        </w:rPr>
        <w:t>重复率为40%。其中：</w:t>
      </w:r>
      <w:r>
        <w:rPr>
          <w:rFonts w:hint="eastAsia" w:ascii="宋体" w:hAnsi="宋体" w:eastAsia="方正仿宋_GBK" w:cs="方正仿宋_GBK"/>
          <w:b w:val="0"/>
          <w:bCs w:val="0"/>
          <w:color w:val="auto"/>
          <w:kern w:val="0"/>
          <w:sz w:val="32"/>
          <w:szCs w:val="32"/>
          <w:highlight w:val="none"/>
          <w:lang w:val="en-US" w:eastAsia="zh-CN"/>
        </w:rPr>
        <w:t>与州级基本保持一致的有5条，即“</w:t>
      </w:r>
      <w:r>
        <w:rPr>
          <w:rFonts w:hint="default" w:ascii="Times New Roman" w:hAnsi="Times New Roman" w:eastAsia="方正仿宋_GBK" w:cs="Times New Roman"/>
          <w:i w:val="0"/>
          <w:iCs w:val="0"/>
          <w:caps w:val="0"/>
          <w:color w:val="000000"/>
          <w:spacing w:val="0"/>
          <w:kern w:val="0"/>
          <w:sz w:val="32"/>
          <w:szCs w:val="32"/>
          <w:highlight w:val="none"/>
          <w:lang w:val="en-US" w:eastAsia="zh-CN" w:bidi="ar-SA"/>
        </w:rPr>
        <w:t>8．加快培育消费新业态。</w:t>
      </w:r>
      <w:r>
        <w:rPr>
          <w:rFonts w:hint="eastAsia" w:ascii="宋体" w:hAnsi="宋体" w:eastAsia="方正仿宋_GBK" w:cs="方正仿宋_GBK"/>
          <w:b w:val="0"/>
          <w:bCs w:val="0"/>
          <w:color w:val="auto"/>
          <w:kern w:val="0"/>
          <w:sz w:val="32"/>
          <w:szCs w:val="32"/>
          <w:highlight w:val="none"/>
          <w:lang w:val="en-US" w:eastAsia="zh-CN"/>
        </w:rPr>
        <w:t>”“18．保障基本民生消费”“19．进一步优化营商环境”“20．营造良好消费环境”“22．加大财政金融支持力度”。结合我市实际，内容与州级相似度达40</w:t>
      </w:r>
      <w:r>
        <w:rPr>
          <w:rFonts w:hint="eastAsia" w:ascii="宋体" w:hAnsi="宋体" w:eastAsia="方正仿宋_GBK" w:cs="方正仿宋_GBK"/>
          <w:b w:val="0"/>
          <w:bCs w:val="0"/>
          <w:i w:val="0"/>
          <w:iCs w:val="0"/>
          <w:caps w:val="0"/>
          <w:color w:val="000000"/>
          <w:spacing w:val="0"/>
          <w:kern w:val="0"/>
          <w:sz w:val="32"/>
          <w:szCs w:val="32"/>
          <w:highlight w:val="none"/>
          <w:lang w:val="en-US" w:eastAsia="zh-CN"/>
        </w:rPr>
        <w:t>%左右的有8条，即：第3、4、5、6、9、16、17、19条，</w:t>
      </w:r>
      <w:r>
        <w:rPr>
          <w:rFonts w:hint="eastAsia" w:ascii="宋体" w:hAnsi="宋体" w:eastAsia="方正仿宋_GBK" w:cs="方正仿宋_GBK"/>
          <w:b w:val="0"/>
          <w:bCs w:val="0"/>
          <w:color w:val="auto"/>
          <w:kern w:val="0"/>
          <w:sz w:val="32"/>
          <w:szCs w:val="32"/>
          <w:highlight w:val="none"/>
          <w:lang w:val="en-US" w:eastAsia="zh-CN"/>
        </w:rPr>
        <w:t>与州级相似度达20</w:t>
      </w:r>
      <w:r>
        <w:rPr>
          <w:rFonts w:hint="eastAsia" w:ascii="宋体" w:hAnsi="宋体" w:eastAsia="方正仿宋_GBK" w:cs="方正仿宋_GBK"/>
          <w:b w:val="0"/>
          <w:bCs w:val="0"/>
          <w:i w:val="0"/>
          <w:iCs w:val="0"/>
          <w:caps w:val="0"/>
          <w:color w:val="000000"/>
          <w:spacing w:val="0"/>
          <w:kern w:val="0"/>
          <w:sz w:val="32"/>
          <w:szCs w:val="32"/>
          <w:highlight w:val="none"/>
          <w:lang w:val="en-US" w:eastAsia="zh-CN"/>
        </w:rPr>
        <w:t>%左右的有3条，即：第1、2、15条；其余6条基本根据</w:t>
      </w:r>
      <w:r>
        <w:rPr>
          <w:rFonts w:hint="eastAsia" w:ascii="宋体" w:hAnsi="宋体" w:eastAsia="方正仿宋_GBK" w:cs="方正仿宋_GBK"/>
          <w:b w:val="0"/>
          <w:bCs w:val="0"/>
          <w:color w:val="auto"/>
          <w:kern w:val="0"/>
          <w:sz w:val="32"/>
          <w:szCs w:val="32"/>
          <w:highlight w:val="none"/>
          <w:lang w:val="en-US" w:eastAsia="zh-CN"/>
        </w:rPr>
        <w:t>我市实际，与州级基本无相似内容。</w:t>
      </w:r>
    </w:p>
    <w:p>
      <w:pPr>
        <w:keepNext w:val="0"/>
        <w:keepLines w:val="0"/>
        <w:pageBreakBefore w:val="0"/>
        <w:widowControl w:val="0"/>
        <w:numPr>
          <w:ilvl w:val="0"/>
          <w:numId w:val="0"/>
        </w:numPr>
        <w:pBdr>
          <w:bottom w:val="single" w:color="FFFFFF" w:sz="4" w:space="27"/>
        </w:pBdr>
        <w:kinsoku/>
        <w:wordWrap/>
        <w:overflowPunct/>
        <w:topLinePunct w:val="0"/>
        <w:autoSpaceDE/>
        <w:autoSpaceDN/>
        <w:bidi w:val="0"/>
        <w:adjustRightInd/>
        <w:snapToGrid/>
        <w:spacing w:line="560" w:lineRule="exact"/>
        <w:ind w:left="0" w:leftChars="0" w:right="0" w:firstLine="640" w:firstLineChars="200"/>
        <w:contextualSpacing/>
        <w:jc w:val="both"/>
        <w:textAlignment w:val="auto"/>
        <w:rPr>
          <w:rFonts w:hint="eastAsia" w:ascii="宋体" w:hAnsi="宋体" w:eastAsia="方正黑体_GBK" w:cs="方正黑体_GBK"/>
          <w:color w:val="auto"/>
          <w:kern w:val="0"/>
          <w:sz w:val="32"/>
          <w:szCs w:val="32"/>
          <w:highlight w:val="none"/>
          <w:lang w:eastAsia="zh-CN"/>
        </w:rPr>
      </w:pPr>
      <w:r>
        <w:rPr>
          <w:rFonts w:hint="eastAsia" w:ascii="宋体" w:hAnsi="宋体" w:eastAsia="方正黑体_GBK" w:cs="方正黑体_GBK"/>
          <w:color w:val="auto"/>
          <w:kern w:val="0"/>
          <w:sz w:val="32"/>
          <w:szCs w:val="32"/>
          <w:highlight w:val="none"/>
          <w:lang w:eastAsia="zh-CN"/>
        </w:rPr>
        <w:t>四、主要内容</w:t>
      </w:r>
    </w:p>
    <w:p>
      <w:pPr>
        <w:keepNext w:val="0"/>
        <w:keepLines w:val="0"/>
        <w:pageBreakBefore w:val="0"/>
        <w:widowControl w:val="0"/>
        <w:numPr>
          <w:ilvl w:val="0"/>
          <w:numId w:val="0"/>
        </w:numPr>
        <w:pBdr>
          <w:bottom w:val="single" w:color="FFFFFF" w:sz="4" w:space="27"/>
        </w:pBdr>
        <w:kinsoku/>
        <w:wordWrap/>
        <w:overflowPunct/>
        <w:topLinePunct w:val="0"/>
        <w:autoSpaceDE/>
        <w:autoSpaceDN/>
        <w:bidi w:val="0"/>
        <w:adjustRightInd/>
        <w:snapToGrid/>
        <w:spacing w:line="560" w:lineRule="exact"/>
        <w:ind w:left="0" w:leftChars="0" w:right="0" w:firstLine="640" w:firstLineChars="200"/>
        <w:contextualSpacing/>
        <w:jc w:val="both"/>
        <w:textAlignment w:val="auto"/>
        <w:rPr>
          <w:rFonts w:hint="eastAsia" w:ascii="宋体" w:hAnsi="宋体" w:eastAsia="方正仿宋_GBK" w:cs="方正仿宋_GBK"/>
          <w:i w:val="0"/>
          <w:iCs w:val="0"/>
          <w:caps w:val="0"/>
          <w:color w:val="000000"/>
          <w:spacing w:val="0"/>
          <w:kern w:val="0"/>
          <w:sz w:val="32"/>
          <w:szCs w:val="32"/>
          <w:highlight w:val="none"/>
          <w:lang w:val="en-US" w:eastAsia="zh-CN"/>
        </w:rPr>
      </w:pPr>
      <w:r>
        <w:rPr>
          <w:rFonts w:hint="eastAsia" w:ascii="宋体" w:hAnsi="宋体" w:eastAsia="方正仿宋_GBK" w:cs="方正仿宋_GBK"/>
          <w:b w:val="0"/>
          <w:bCs w:val="0"/>
          <w:color w:val="auto"/>
          <w:kern w:val="0"/>
          <w:sz w:val="32"/>
          <w:szCs w:val="32"/>
          <w:highlight w:val="none"/>
          <w:lang w:val="en-US" w:eastAsia="zh-CN"/>
        </w:rPr>
        <w:t>主要内容分为三大部分。</w:t>
      </w:r>
      <w:r>
        <w:rPr>
          <w:rFonts w:hint="eastAsia" w:ascii="宋体" w:hAnsi="宋体" w:eastAsia="方正仿宋_GBK" w:cs="方正仿宋_GBK"/>
          <w:b/>
          <w:bCs/>
          <w:color w:val="auto"/>
          <w:kern w:val="0"/>
          <w:sz w:val="32"/>
          <w:szCs w:val="32"/>
          <w:highlight w:val="none"/>
          <w:lang w:val="en-US" w:eastAsia="zh-CN"/>
        </w:rPr>
        <w:t>第</w:t>
      </w:r>
      <w:r>
        <w:rPr>
          <w:rFonts w:hint="eastAsia" w:ascii="宋体" w:hAnsi="宋体" w:eastAsia="方正仿宋_GBK" w:cs="方正仿宋_GBK"/>
          <w:b/>
          <w:bCs/>
          <w:color w:val="auto"/>
          <w:kern w:val="0"/>
          <w:sz w:val="32"/>
          <w:szCs w:val="32"/>
          <w:highlight w:val="none"/>
          <w:lang w:eastAsia="zh-CN"/>
        </w:rPr>
        <w:t>一部分是总体要求。</w:t>
      </w:r>
      <w:r>
        <w:rPr>
          <w:rFonts w:hint="eastAsia" w:ascii="宋体" w:hAnsi="宋体" w:eastAsia="方正仿宋_GBK" w:cs="方正仿宋_GBK"/>
          <w:b w:val="0"/>
          <w:bCs w:val="0"/>
          <w:color w:val="auto"/>
          <w:kern w:val="0"/>
          <w:sz w:val="32"/>
          <w:szCs w:val="32"/>
          <w:highlight w:val="none"/>
          <w:lang w:eastAsia="zh-CN"/>
        </w:rPr>
        <w:t>分为指导思想和总体目标。指导思想是</w:t>
      </w:r>
      <w:r>
        <w:rPr>
          <w:rFonts w:hint="default" w:ascii="Times New Roman" w:hAnsi="Times New Roman" w:eastAsia="方正仿宋_GBK" w:cs="Times New Roman"/>
          <w:color w:val="000000"/>
          <w:kern w:val="0"/>
          <w:sz w:val="32"/>
          <w:szCs w:val="32"/>
          <w:highlight w:val="none"/>
          <w:lang w:val="en-US" w:eastAsia="zh-CN" w:bidi="ar-SA"/>
        </w:rPr>
        <w:t>以习近平新时代</w:t>
      </w:r>
      <w:r>
        <w:rPr>
          <w:rFonts w:hint="eastAsia" w:eastAsia="方正仿宋_GBK" w:cs="Times New Roman"/>
          <w:color w:val="000000"/>
          <w:kern w:val="0"/>
          <w:sz w:val="32"/>
          <w:szCs w:val="32"/>
          <w:highlight w:val="none"/>
          <w:lang w:val="en-US" w:eastAsia="zh-CN" w:bidi="ar-SA"/>
        </w:rPr>
        <w:t>中国</w:t>
      </w:r>
      <w:r>
        <w:rPr>
          <w:rFonts w:hint="default" w:ascii="Times New Roman" w:hAnsi="Times New Roman" w:eastAsia="方正仿宋_GBK" w:cs="Times New Roman"/>
          <w:color w:val="000000"/>
          <w:kern w:val="0"/>
          <w:sz w:val="32"/>
          <w:szCs w:val="32"/>
          <w:highlight w:val="none"/>
          <w:lang w:val="en-US" w:eastAsia="zh-CN" w:bidi="ar-SA"/>
        </w:rPr>
        <w:t>特色社会主义思想为指导，全面贯彻落实党的十九大、十九届历次全会和</w:t>
      </w:r>
      <w:r>
        <w:rPr>
          <w:rFonts w:hint="eastAsia" w:eastAsia="方正仿宋_GBK" w:cs="Times New Roman"/>
          <w:color w:val="000000"/>
          <w:kern w:val="0"/>
          <w:sz w:val="32"/>
          <w:szCs w:val="32"/>
          <w:highlight w:val="none"/>
          <w:lang w:val="en-US" w:eastAsia="zh-CN" w:bidi="ar-SA"/>
        </w:rPr>
        <w:t>党的</w:t>
      </w:r>
      <w:r>
        <w:rPr>
          <w:rFonts w:hint="default" w:ascii="Times New Roman" w:hAnsi="Times New Roman" w:eastAsia="方正仿宋_GBK" w:cs="Times New Roman"/>
          <w:color w:val="000000"/>
          <w:kern w:val="0"/>
          <w:sz w:val="32"/>
          <w:szCs w:val="32"/>
          <w:highlight w:val="none"/>
          <w:lang w:val="en-US" w:eastAsia="zh-CN" w:bidi="ar-SA"/>
        </w:rPr>
        <w:t>二十大精神，深入贯彻习近平总书记考察云南重要讲话精神，认真落实州委、州政府相关会议部署，促进消费提质增效，进一步发挥消费对经济发展的拉动作用。</w:t>
      </w:r>
      <w:r>
        <w:rPr>
          <w:rFonts w:hint="eastAsia" w:ascii="宋体" w:hAnsi="宋体" w:eastAsia="方正仿宋_GBK" w:cs="方正仿宋_GBK"/>
          <w:color w:val="000000"/>
          <w:kern w:val="0"/>
          <w:sz w:val="32"/>
          <w:szCs w:val="32"/>
          <w:highlight w:val="none"/>
          <w:lang w:val="en-US" w:eastAsia="zh-CN"/>
        </w:rPr>
        <w:t>总体目标主要是通过3年的努力，城乡消费规模稳步扩大，结构实现升级，全市消费总量突破230亿元，2022—2024年社会消费品零售总额同比年均增长8%以上，全市网络零售同比年均增长15%以上。发展壮大商贸流通市场主体，到2024年，批零住餐企业达到8149户以上，限额以上企业达到109家以上，其中年销售额超过1亿元企业达8家以上，超过10亿元企业达3家以上，超过30亿元的商贸流通企业达2家以上</w:t>
      </w:r>
      <w:r>
        <w:rPr>
          <w:rFonts w:hint="eastAsia" w:ascii="宋体" w:hAnsi="宋体" w:eastAsia="方正仿宋_GBK" w:cs="方正仿宋_GBK"/>
          <w:i w:val="0"/>
          <w:iCs w:val="0"/>
          <w:caps w:val="0"/>
          <w:color w:val="000000"/>
          <w:spacing w:val="0"/>
          <w:kern w:val="0"/>
          <w:sz w:val="32"/>
          <w:szCs w:val="32"/>
          <w:highlight w:val="none"/>
          <w:lang w:val="en-US" w:eastAsia="zh-CN"/>
        </w:rPr>
        <w:t>。</w:t>
      </w:r>
    </w:p>
    <w:p>
      <w:pPr>
        <w:keepNext w:val="0"/>
        <w:keepLines w:val="0"/>
        <w:pageBreakBefore w:val="0"/>
        <w:widowControl w:val="0"/>
        <w:numPr>
          <w:ilvl w:val="0"/>
          <w:numId w:val="0"/>
        </w:numPr>
        <w:pBdr>
          <w:bottom w:val="single" w:color="FFFFFF" w:sz="4" w:space="27"/>
        </w:pBdr>
        <w:kinsoku/>
        <w:wordWrap/>
        <w:overflowPunct/>
        <w:topLinePunct w:val="0"/>
        <w:autoSpaceDE/>
        <w:autoSpaceDN/>
        <w:bidi w:val="0"/>
        <w:adjustRightInd/>
        <w:snapToGrid/>
        <w:spacing w:line="560" w:lineRule="exact"/>
        <w:ind w:left="0" w:leftChars="0" w:right="0" w:firstLine="643" w:firstLineChars="200"/>
        <w:contextualSpacing/>
        <w:jc w:val="both"/>
        <w:textAlignment w:val="auto"/>
        <w:rPr>
          <w:rFonts w:hint="eastAsia" w:ascii="宋体" w:hAnsi="宋体" w:eastAsia="方正仿宋_GBK" w:cs="方正仿宋_GBK"/>
          <w:b w:val="0"/>
          <w:bCs w:val="0"/>
          <w:color w:val="auto"/>
          <w:kern w:val="0"/>
          <w:sz w:val="32"/>
          <w:szCs w:val="32"/>
          <w:highlight w:val="none"/>
          <w:lang w:val="en-US" w:eastAsia="zh-CN"/>
        </w:rPr>
      </w:pPr>
      <w:r>
        <w:rPr>
          <w:rFonts w:hint="eastAsia" w:ascii="宋体" w:hAnsi="宋体" w:eastAsia="方正仿宋_GBK" w:cs="方正仿宋_GBK"/>
          <w:b/>
          <w:bCs/>
          <w:color w:val="auto"/>
          <w:kern w:val="0"/>
          <w:sz w:val="32"/>
          <w:szCs w:val="32"/>
          <w:highlight w:val="none"/>
          <w:lang w:val="en-US" w:eastAsia="zh-CN"/>
        </w:rPr>
        <w:t>第二部分是主要任务。</w:t>
      </w:r>
      <w:r>
        <w:rPr>
          <w:rFonts w:hint="eastAsia" w:ascii="宋体" w:hAnsi="宋体" w:eastAsia="方正仿宋_GBK" w:cs="方正仿宋_GBK"/>
          <w:b w:val="0"/>
          <w:bCs w:val="0"/>
          <w:color w:val="auto"/>
          <w:kern w:val="0"/>
          <w:sz w:val="32"/>
          <w:szCs w:val="32"/>
          <w:highlight w:val="none"/>
          <w:lang w:val="en-US" w:eastAsia="zh-CN"/>
        </w:rPr>
        <w:t>“兴主体”行动共有4条，分别为：发展壮大骨干企业、积极扶持中小微企业、大力开展商贸招商引资、积极培育本土品牌。“拓渠道”行动共有3条，分别为：加快线上线下消费融合、开展网上购物节活动、支持会展经济发展。“强供给”行动共有3条，分别为：加快培育消费新业态、加快发展连锁经营、促进内外贸易一体化发展。“建载体”行动共5条，分别为：打造消费中心城市、积极打造特色商圈、打造一刻钟便民生活圈、大力发展夜间经济、加快推进县域商业体系建设行动。“惠民生”行动共3条，分别为促进大宗商品消费、打造促消费活动品牌、保障基本民生消费。“优环境”行动共有4条，分别为：进一步优化营商环境、营造放心消费环境、强化促消费活动宣传、加大财政金融支持力度。</w:t>
      </w:r>
    </w:p>
    <w:p>
      <w:pPr>
        <w:keepNext w:val="0"/>
        <w:keepLines w:val="0"/>
        <w:pageBreakBefore w:val="0"/>
        <w:widowControl w:val="0"/>
        <w:numPr>
          <w:ilvl w:val="0"/>
          <w:numId w:val="0"/>
        </w:numPr>
        <w:pBdr>
          <w:bottom w:val="single" w:color="FFFFFF" w:sz="4" w:space="27"/>
        </w:pBdr>
        <w:kinsoku/>
        <w:wordWrap/>
        <w:overflowPunct/>
        <w:topLinePunct w:val="0"/>
        <w:autoSpaceDE/>
        <w:autoSpaceDN/>
        <w:bidi w:val="0"/>
        <w:adjustRightInd/>
        <w:snapToGrid/>
        <w:spacing w:line="560" w:lineRule="exact"/>
        <w:ind w:left="0" w:leftChars="0" w:right="0" w:firstLine="643" w:firstLineChars="200"/>
        <w:contextualSpacing/>
        <w:jc w:val="both"/>
        <w:textAlignment w:val="auto"/>
        <w:rPr>
          <w:rFonts w:hint="eastAsia" w:ascii="宋体" w:hAnsi="宋体" w:eastAsia="方正仿宋_GBK" w:cs="方正仿宋_GBK"/>
          <w:b w:val="0"/>
          <w:bCs w:val="0"/>
          <w:color w:val="auto"/>
          <w:spacing w:val="0"/>
          <w:kern w:val="0"/>
          <w:sz w:val="32"/>
          <w:szCs w:val="32"/>
          <w:highlight w:val="none"/>
          <w:lang w:val="en-US"/>
        </w:rPr>
      </w:pPr>
      <w:r>
        <w:rPr>
          <w:rFonts w:hint="eastAsia" w:ascii="宋体" w:hAnsi="宋体" w:eastAsia="方正仿宋_GBK" w:cs="方正仿宋_GBK"/>
          <w:b/>
          <w:bCs/>
          <w:color w:val="auto"/>
          <w:kern w:val="0"/>
          <w:sz w:val="32"/>
          <w:szCs w:val="32"/>
          <w:highlight w:val="none"/>
          <w:lang w:val="en-US" w:eastAsia="zh-CN"/>
        </w:rPr>
        <w:t>第三部分是保障措施。</w:t>
      </w:r>
      <w:r>
        <w:rPr>
          <w:rFonts w:hint="eastAsia" w:ascii="宋体" w:hAnsi="宋体" w:eastAsia="方正仿宋_GBK" w:cs="方正仿宋_GBK"/>
          <w:b w:val="0"/>
          <w:bCs w:val="0"/>
          <w:i w:val="0"/>
          <w:iCs w:val="0"/>
          <w:caps w:val="0"/>
          <w:color w:val="auto"/>
          <w:spacing w:val="0"/>
          <w:kern w:val="0"/>
          <w:sz w:val="32"/>
          <w:szCs w:val="32"/>
          <w:highlight w:val="none"/>
          <w:lang w:val="en-US" w:eastAsia="zh-CN"/>
        </w:rPr>
        <w:t>一是压实工作责任。二是强化要素保障。三是</w:t>
      </w:r>
      <w:r>
        <w:rPr>
          <w:rFonts w:hint="eastAsia" w:ascii="宋体" w:hAnsi="宋体" w:eastAsia="方正仿宋_GBK" w:cs="方正仿宋_GBK"/>
          <w:i w:val="0"/>
          <w:iCs w:val="0"/>
          <w:caps w:val="0"/>
          <w:color w:val="auto"/>
          <w:spacing w:val="0"/>
          <w:kern w:val="0"/>
          <w:sz w:val="32"/>
          <w:szCs w:val="32"/>
          <w:highlight w:val="none"/>
          <w:lang w:val="en-US" w:eastAsia="zh-CN"/>
        </w:rPr>
        <w:t>加强宣传引导。计划最后附《文山市促消费稳增长三年行动计划（2022-2024年）重点任务清单》。</w:t>
      </w:r>
    </w:p>
    <w:p/>
    <w:sectPr>
      <w:pgSz w:w="11906" w:h="16838"/>
      <w:pgMar w:top="2098"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0949EA"/>
    <w:rsid w:val="154A7863"/>
    <w:rsid w:val="47985BE6"/>
    <w:rsid w:val="5D234B99"/>
    <w:rsid w:val="69094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rPr>
      <w:rFonts w:eastAsia="宋体"/>
      <w:sz w:val="21"/>
      <w:szCs w:val="24"/>
    </w:rPr>
  </w:style>
  <w:style w:type="paragraph" w:customStyle="1" w:styleId="4">
    <w:name w:val="正文 New"/>
    <w:next w:val="1"/>
    <w:qFormat/>
    <w:uiPriority w:val="0"/>
    <w:pPr>
      <w:widowControl w:val="0"/>
      <w:spacing w:line="480" w:lineRule="exact"/>
      <w:jc w:val="both"/>
    </w:pPr>
    <w:rPr>
      <w:rFonts w:ascii="Times New Roman" w:hAnsi="Times New Roman" w:eastAsia="华文楷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文山州直属党政机关单位</Company>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2023-10-31T06:59:00Z</dcterms:created>
  <dc:creator>Administrator</dc:creator>
  <cp:lastModifiedBy>樱花草1417572470</cp:lastModifiedBy>
  <dcterms:modified xsi:type="dcterms:W3CDTF">2024-02-18T07:20:35Z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0FDD0F536FA64C43A89F08CA663AC8F2</vt:lpwstr>
  </property>
</Properties>
</file>