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21" w:rsidRPr="00F85B22" w:rsidRDefault="00185E21" w:rsidP="00F85B22">
      <w:pPr>
        <w:pStyle w:val="af1"/>
        <w:jc w:val="center"/>
        <w:rPr>
          <w:rFonts w:ascii="方正小标宋_GBK" w:eastAsia="方正小标宋_GBK" w:hint="eastAsia"/>
          <w:sz w:val="36"/>
          <w:szCs w:val="36"/>
        </w:rPr>
      </w:pPr>
      <w:r w:rsidRPr="00F85B22">
        <w:rPr>
          <w:rFonts w:ascii="方正小标宋_GBK" w:eastAsia="方正小标宋_GBK" w:hint="eastAsia"/>
          <w:sz w:val="36"/>
          <w:szCs w:val="36"/>
        </w:rPr>
        <w:t>《文山市农村集体经营性建设用地土地增值收益调节金征收使用管理（暂行）办法》政策解读</w:t>
      </w:r>
    </w:p>
    <w:p w:rsidR="00185E21" w:rsidRPr="00F85B22" w:rsidRDefault="00185E21" w:rsidP="00F85B22">
      <w:pPr>
        <w:pStyle w:val="af1"/>
        <w:spacing w:line="520" w:lineRule="atLeast"/>
        <w:ind w:firstLineChars="200" w:firstLine="643"/>
        <w:rPr>
          <w:rFonts w:ascii="方正仿宋_GBK" w:eastAsia="方正仿宋_GBK" w:hint="eastAsia"/>
          <w:b/>
          <w:sz w:val="32"/>
          <w:szCs w:val="32"/>
        </w:rPr>
      </w:pPr>
      <w:r w:rsidRPr="00F85B22">
        <w:rPr>
          <w:rFonts w:ascii="方正仿宋_GBK" w:eastAsia="方正仿宋_GBK" w:hint="eastAsia"/>
          <w:b/>
          <w:sz w:val="32"/>
          <w:szCs w:val="32"/>
        </w:rPr>
        <w:t>一、制定指导意见的背景</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按照《自然资源部办公厅关于印发〈深化农村集体经营性建设用地入市试点工作方案〉的通知》（自然资源办函〔2023〕364号）、《云南省人民政府办公厅关于深化农村集体经营性建设用地入市试点工作的实施意见》（云政办发〔2023〕45号）、《云南省深化农村集体经营性建设用地入市试点工作方案》(</w:t>
      </w:r>
      <w:proofErr w:type="gramStart"/>
      <w:r w:rsidRPr="00F85B22">
        <w:rPr>
          <w:rFonts w:ascii="方正仿宋_GBK" w:eastAsia="方正仿宋_GBK" w:hint="eastAsia"/>
          <w:sz w:val="32"/>
          <w:szCs w:val="32"/>
        </w:rPr>
        <w:t>云自然资</w:t>
      </w:r>
      <w:proofErr w:type="gramEnd"/>
      <w:r w:rsidRPr="00F85B22">
        <w:rPr>
          <w:rFonts w:ascii="方正仿宋_GBK" w:eastAsia="方正仿宋_GBK" w:hint="eastAsia"/>
          <w:sz w:val="32"/>
          <w:szCs w:val="32"/>
        </w:rPr>
        <w:t>〔2023〕134号）要求，文山市已被列入集体经营性建设用地入市试点之一。为了依法稳妥有序推进文山市农村集体经营性建设用地入市试点工作，根据《中华人民共和国土地管理法》财政部自然资源部《关于印发&lt;农村集体经营性建设用地土地增值收益调节金征收使用管理暂行办法&gt;的通知》（财税〔2016〕41号）《文山市人民政府关于印发深化农村集体经营性建设用地入市试点工作方案》（文市政发〔2023〕46号）《文山市农村集体经营性建设用地入市管理办法（试行）》，结合文山市实际起草了本《文山市农村集体经营性建设用地土地增值收益调节金征收使用管理（暂行）办法》的征求意见稿。</w:t>
      </w:r>
    </w:p>
    <w:p w:rsidR="00185E21" w:rsidRPr="00F85B22" w:rsidRDefault="00185E21" w:rsidP="00F85B22">
      <w:pPr>
        <w:pStyle w:val="af1"/>
        <w:spacing w:line="520" w:lineRule="atLeast"/>
        <w:ind w:firstLineChars="200" w:firstLine="643"/>
        <w:rPr>
          <w:rFonts w:ascii="方正仿宋_GBK" w:eastAsia="方正仿宋_GBK" w:hint="eastAsia"/>
          <w:b/>
          <w:sz w:val="32"/>
          <w:szCs w:val="32"/>
        </w:rPr>
      </w:pPr>
      <w:r w:rsidRPr="00F85B22">
        <w:rPr>
          <w:rFonts w:ascii="方正仿宋_GBK" w:eastAsia="方正仿宋_GBK" w:hint="eastAsia"/>
          <w:b/>
          <w:sz w:val="32"/>
          <w:szCs w:val="32"/>
        </w:rPr>
        <w:t>二、制定指导意见办法依据</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（一）《中华人民共和国土地管理法》</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lastRenderedPageBreak/>
        <w:t>（二）《关于印发&lt;农村集体经营性建设用地土地增值收益调节金征收使用管理暂行办法&gt;的通知》</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（三）《文山市人民政府关于印发深化农村集体经营性建设用地入市试点工作方案》（文市政发〔2023〕46号）</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（四）《文山市农村集体经营性建设用地入市管理办法（试行）》</w:t>
      </w:r>
    </w:p>
    <w:p w:rsidR="00185E21" w:rsidRPr="00F85B22" w:rsidRDefault="00185E21" w:rsidP="00F85B22">
      <w:pPr>
        <w:pStyle w:val="af1"/>
        <w:spacing w:line="520" w:lineRule="atLeast"/>
        <w:ind w:firstLineChars="200" w:firstLine="643"/>
        <w:rPr>
          <w:rFonts w:ascii="方正仿宋_GBK" w:eastAsia="方正仿宋_GBK" w:hint="eastAsia"/>
          <w:b/>
          <w:sz w:val="32"/>
          <w:szCs w:val="32"/>
        </w:rPr>
      </w:pPr>
      <w:r w:rsidRPr="00F85B22">
        <w:rPr>
          <w:rFonts w:ascii="方正仿宋_GBK" w:eastAsia="方正仿宋_GBK" w:hint="eastAsia"/>
          <w:b/>
          <w:sz w:val="32"/>
          <w:szCs w:val="32"/>
        </w:rPr>
        <w:t>三、适用范围及对象</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涉及集体经营性建设用地入市的集体经济组织及成员。</w:t>
      </w:r>
    </w:p>
    <w:p w:rsidR="00185E21" w:rsidRPr="00F85B22" w:rsidRDefault="00185E21" w:rsidP="00F85B22">
      <w:pPr>
        <w:pStyle w:val="af1"/>
        <w:spacing w:line="520" w:lineRule="atLeast"/>
        <w:ind w:firstLineChars="200" w:firstLine="643"/>
        <w:rPr>
          <w:rFonts w:ascii="方正仿宋_GBK" w:eastAsia="方正仿宋_GBK" w:hint="eastAsia"/>
          <w:b/>
          <w:sz w:val="32"/>
          <w:szCs w:val="32"/>
        </w:rPr>
      </w:pPr>
      <w:r w:rsidRPr="00F85B22">
        <w:rPr>
          <w:rFonts w:ascii="方正仿宋_GBK" w:eastAsia="方正仿宋_GBK" w:hint="eastAsia"/>
          <w:b/>
          <w:sz w:val="32"/>
          <w:szCs w:val="32"/>
        </w:rPr>
        <w:t>四、主要内容解读</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《管理办法》分五章共二十三条：</w:t>
      </w:r>
    </w:p>
    <w:p w:rsidR="00185E21" w:rsidRPr="00F85B22" w:rsidRDefault="00185E21" w:rsidP="00F85B22">
      <w:pPr>
        <w:pStyle w:val="af1"/>
        <w:spacing w:line="520" w:lineRule="atLeast"/>
        <w:ind w:firstLineChars="200" w:firstLine="643"/>
        <w:rPr>
          <w:rFonts w:ascii="方正仿宋_GBK" w:eastAsia="方正仿宋_GBK" w:hint="eastAsia"/>
          <w:sz w:val="32"/>
          <w:szCs w:val="32"/>
        </w:rPr>
      </w:pPr>
      <w:r w:rsidRPr="00F85B22">
        <w:rPr>
          <w:rStyle w:val="a6"/>
          <w:rFonts w:ascii="方正仿宋_GBK" w:eastAsia="方正仿宋_GBK" w:hint="eastAsia"/>
          <w:sz w:val="32"/>
          <w:szCs w:val="32"/>
        </w:rPr>
        <w:t>第一章总则。共</w:t>
      </w:r>
      <w:r w:rsidRPr="00F85B22">
        <w:rPr>
          <w:rFonts w:ascii="方正仿宋_GBK" w:eastAsia="方正仿宋_GBK" w:hint="eastAsia"/>
          <w:sz w:val="32"/>
          <w:szCs w:val="32"/>
        </w:rPr>
        <w:t>3条（1—3条），明确了制定《管理办法》的法律依据、适用范围、农村集体经营性建设用地土地增值收益调节金的概念。</w:t>
      </w:r>
    </w:p>
    <w:p w:rsidR="00185E21" w:rsidRPr="00F85B22" w:rsidRDefault="00185E21" w:rsidP="00F85B22">
      <w:pPr>
        <w:pStyle w:val="af1"/>
        <w:spacing w:line="520" w:lineRule="atLeast"/>
        <w:ind w:firstLineChars="200" w:firstLine="643"/>
        <w:rPr>
          <w:rFonts w:ascii="方正仿宋_GBK" w:eastAsia="方正仿宋_GBK" w:hint="eastAsia"/>
          <w:sz w:val="32"/>
          <w:szCs w:val="32"/>
        </w:rPr>
      </w:pPr>
      <w:r w:rsidRPr="00F85B22">
        <w:rPr>
          <w:rStyle w:val="a6"/>
          <w:rFonts w:ascii="方正仿宋_GBK" w:eastAsia="方正仿宋_GBK" w:hint="eastAsia"/>
          <w:sz w:val="32"/>
          <w:szCs w:val="32"/>
        </w:rPr>
        <w:t>第二章征缴管理。</w:t>
      </w:r>
      <w:r w:rsidRPr="00F85B22">
        <w:rPr>
          <w:rFonts w:ascii="方正仿宋_GBK" w:eastAsia="方正仿宋_GBK" w:hint="eastAsia"/>
          <w:sz w:val="32"/>
          <w:szCs w:val="32"/>
        </w:rPr>
        <w:t>共11条（4—14条），明确了土地增值收益调节金的征收主体、征收范围、征收比例及管理。</w:t>
      </w:r>
    </w:p>
    <w:p w:rsidR="00185E21" w:rsidRPr="00F85B22" w:rsidRDefault="00185E21" w:rsidP="00F85B22">
      <w:pPr>
        <w:pStyle w:val="af1"/>
        <w:spacing w:line="520" w:lineRule="atLeast"/>
        <w:ind w:firstLineChars="200" w:firstLine="643"/>
        <w:rPr>
          <w:rFonts w:ascii="方正仿宋_GBK" w:eastAsia="方正仿宋_GBK" w:hint="eastAsia"/>
          <w:sz w:val="32"/>
          <w:szCs w:val="32"/>
        </w:rPr>
      </w:pPr>
      <w:r w:rsidRPr="00F85B22">
        <w:rPr>
          <w:rStyle w:val="a6"/>
          <w:rFonts w:ascii="方正仿宋_GBK" w:eastAsia="方正仿宋_GBK" w:hint="eastAsia"/>
          <w:sz w:val="32"/>
          <w:szCs w:val="32"/>
        </w:rPr>
        <w:t>第三章使用管理。</w:t>
      </w:r>
      <w:r w:rsidRPr="00F85B22">
        <w:rPr>
          <w:rFonts w:ascii="方正仿宋_GBK" w:eastAsia="方正仿宋_GBK" w:hint="eastAsia"/>
          <w:sz w:val="32"/>
          <w:szCs w:val="32"/>
        </w:rPr>
        <w:t>共3条（15—17条），明确了土地增值收益调节金的使用程序、使用范围。</w:t>
      </w:r>
    </w:p>
    <w:p w:rsidR="00185E21" w:rsidRPr="00F85B22" w:rsidRDefault="00185E21" w:rsidP="00F85B22">
      <w:pPr>
        <w:pStyle w:val="af1"/>
        <w:spacing w:line="520" w:lineRule="atLeast"/>
        <w:ind w:firstLineChars="200" w:firstLine="643"/>
        <w:rPr>
          <w:rFonts w:ascii="方正仿宋_GBK" w:eastAsia="方正仿宋_GBK" w:hint="eastAsia"/>
          <w:sz w:val="32"/>
          <w:szCs w:val="32"/>
        </w:rPr>
      </w:pPr>
      <w:r w:rsidRPr="00F85B22">
        <w:rPr>
          <w:rStyle w:val="a6"/>
          <w:rFonts w:ascii="方正仿宋_GBK" w:eastAsia="方正仿宋_GBK" w:hint="eastAsia"/>
          <w:sz w:val="32"/>
          <w:szCs w:val="32"/>
        </w:rPr>
        <w:t>第四章法律责任。</w:t>
      </w:r>
      <w:r w:rsidRPr="00F85B22">
        <w:rPr>
          <w:rFonts w:ascii="方正仿宋_GBK" w:eastAsia="方正仿宋_GBK" w:hint="eastAsia"/>
          <w:sz w:val="32"/>
          <w:szCs w:val="32"/>
        </w:rPr>
        <w:t>共3条（18—20条），明确了土地增值收益调节金缴纳义务人的法律责任。</w:t>
      </w:r>
    </w:p>
    <w:p w:rsidR="00185E21" w:rsidRPr="00F85B22" w:rsidRDefault="00185E21" w:rsidP="00F85B22">
      <w:pPr>
        <w:pStyle w:val="af1"/>
        <w:spacing w:line="520" w:lineRule="atLeast"/>
        <w:ind w:firstLineChars="200" w:firstLine="643"/>
        <w:rPr>
          <w:rFonts w:ascii="方正仿宋_GBK" w:eastAsia="方正仿宋_GBK" w:hint="eastAsia"/>
          <w:sz w:val="32"/>
          <w:szCs w:val="32"/>
        </w:rPr>
      </w:pPr>
      <w:r w:rsidRPr="00F85B22">
        <w:rPr>
          <w:rStyle w:val="a6"/>
          <w:rFonts w:ascii="方正仿宋_GBK" w:eastAsia="方正仿宋_GBK" w:hint="eastAsia"/>
          <w:sz w:val="32"/>
          <w:szCs w:val="32"/>
        </w:rPr>
        <w:t>第五章附则。</w:t>
      </w:r>
      <w:r w:rsidRPr="00F85B22">
        <w:rPr>
          <w:rFonts w:ascii="方正仿宋_GBK" w:eastAsia="方正仿宋_GBK" w:hint="eastAsia"/>
          <w:sz w:val="32"/>
          <w:szCs w:val="32"/>
        </w:rPr>
        <w:t>共3条（21—23条），明确了《管理办法》的解释部门及生效时间。</w:t>
      </w:r>
    </w:p>
    <w:p w:rsidR="00185E21" w:rsidRPr="00F85B22" w:rsidRDefault="00185E21" w:rsidP="00F85B22">
      <w:pPr>
        <w:pStyle w:val="af1"/>
        <w:spacing w:line="520" w:lineRule="atLeast"/>
        <w:ind w:firstLineChars="200" w:firstLine="643"/>
        <w:rPr>
          <w:rFonts w:ascii="方正仿宋_GBK" w:eastAsia="方正仿宋_GBK" w:hint="eastAsia"/>
          <w:b/>
          <w:sz w:val="32"/>
          <w:szCs w:val="32"/>
        </w:rPr>
      </w:pPr>
      <w:r w:rsidRPr="00F85B22">
        <w:rPr>
          <w:rFonts w:ascii="方正仿宋_GBK" w:eastAsia="方正仿宋_GBK" w:hint="eastAsia"/>
          <w:b/>
          <w:sz w:val="32"/>
          <w:szCs w:val="32"/>
        </w:rPr>
        <w:lastRenderedPageBreak/>
        <w:t>五、名词解释</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《管理办法》</w:t>
      </w:r>
      <w:proofErr w:type="gramStart"/>
      <w:r w:rsidRPr="00F85B22">
        <w:rPr>
          <w:rFonts w:ascii="方正仿宋_GBK" w:eastAsia="方正仿宋_GBK" w:hint="eastAsia"/>
          <w:sz w:val="32"/>
          <w:szCs w:val="32"/>
        </w:rPr>
        <w:t>所称所称</w:t>
      </w:r>
      <w:proofErr w:type="gramEnd"/>
      <w:r w:rsidRPr="00F85B22">
        <w:rPr>
          <w:rFonts w:ascii="方正仿宋_GBK" w:eastAsia="方正仿宋_GBK" w:hint="eastAsia"/>
          <w:sz w:val="32"/>
          <w:szCs w:val="32"/>
        </w:rPr>
        <w:t>调节金，是指按照建立同权同价、流转顺畅、收益共享的农村集体经营性建设用地入市制度的目标，在农村集体经营性建设用地入市及再转让环节，对土地增值收益收取的资金。</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方正仿宋_GBK" w:hint="eastAsia"/>
          <w:sz w:val="32"/>
          <w:szCs w:val="32"/>
        </w:rPr>
        <w:t>农村集体经营性建设用地土地增值收益，是指农村集体经营性建设用地入市环节入市收入扣除取得成本和土地开发支出后的净收益，以及再转让环节的再转让收入扣除取得成本和土地开发支出后的净收益。</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MS Mincho" w:hAnsi="MS Mincho" w:cs="MS Mincho" w:hint="eastAsia"/>
          <w:sz w:val="32"/>
          <w:szCs w:val="32"/>
        </w:rPr>
        <w:t>​</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MS Mincho" w:hAnsi="MS Mincho" w:cs="MS Mincho" w:hint="eastAsia"/>
          <w:sz w:val="32"/>
          <w:szCs w:val="32"/>
        </w:rPr>
        <w:t>​</w:t>
      </w:r>
    </w:p>
    <w:p w:rsidR="00185E21" w:rsidRPr="00F85B22" w:rsidRDefault="00185E21" w:rsidP="00F85B22">
      <w:pPr>
        <w:pStyle w:val="af1"/>
        <w:spacing w:line="520" w:lineRule="atLeast"/>
        <w:ind w:firstLineChars="200" w:firstLine="640"/>
        <w:rPr>
          <w:rFonts w:ascii="方正仿宋_GBK" w:eastAsia="方正仿宋_GBK" w:hint="eastAsia"/>
          <w:sz w:val="32"/>
          <w:szCs w:val="32"/>
        </w:rPr>
      </w:pPr>
      <w:r w:rsidRPr="00F85B22">
        <w:rPr>
          <w:rFonts w:ascii="方正仿宋_GBK" w:eastAsia="MS Mincho" w:hAnsi="MS Mincho" w:cs="MS Mincho" w:hint="eastAsia"/>
          <w:sz w:val="32"/>
          <w:szCs w:val="32"/>
        </w:rPr>
        <w:t>​</w:t>
      </w:r>
    </w:p>
    <w:p w:rsidR="00185E21" w:rsidRPr="00F85B22" w:rsidRDefault="00185E21" w:rsidP="00F85B22">
      <w:pPr>
        <w:pStyle w:val="af1"/>
        <w:wordWrap w:val="0"/>
        <w:spacing w:line="520" w:lineRule="atLeast"/>
        <w:ind w:firstLineChars="200" w:firstLine="640"/>
        <w:jc w:val="right"/>
        <w:rPr>
          <w:rFonts w:ascii="方正仿宋_GBK" w:eastAsia="方正仿宋_GBK" w:hint="eastAsia"/>
          <w:sz w:val="32"/>
          <w:szCs w:val="32"/>
        </w:rPr>
      </w:pPr>
      <w:r w:rsidRPr="00F85B22">
        <w:rPr>
          <w:rFonts w:ascii="方正仿宋_GBK" w:eastAsia="方正仿宋_GBK" w:hint="eastAsia"/>
          <w:sz w:val="32"/>
          <w:szCs w:val="32"/>
        </w:rPr>
        <w:t>文山市财政局</w:t>
      </w:r>
      <w:r w:rsidRPr="00F85B22">
        <w:rPr>
          <w:rFonts w:eastAsia="方正仿宋_GBK" w:hint="eastAsia"/>
          <w:sz w:val="32"/>
          <w:szCs w:val="32"/>
        </w:rPr>
        <w:t> </w:t>
      </w:r>
      <w:r w:rsidR="00F85B22">
        <w:rPr>
          <w:rFonts w:eastAsia="方正仿宋_GBK" w:hint="eastAsia"/>
          <w:sz w:val="32"/>
          <w:szCs w:val="32"/>
        </w:rPr>
        <w:t xml:space="preserve"> </w:t>
      </w:r>
    </w:p>
    <w:p w:rsidR="00185E21" w:rsidRPr="00F85B22" w:rsidRDefault="00185E21" w:rsidP="00F85B22">
      <w:pPr>
        <w:pStyle w:val="vsbcontentend"/>
        <w:wordWrap w:val="0"/>
        <w:spacing w:line="520" w:lineRule="atLeast"/>
        <w:ind w:firstLineChars="200" w:firstLine="640"/>
        <w:jc w:val="right"/>
        <w:rPr>
          <w:rFonts w:ascii="方正仿宋_GBK" w:eastAsia="方正仿宋_GBK" w:hint="eastAsia"/>
          <w:sz w:val="32"/>
          <w:szCs w:val="32"/>
        </w:rPr>
      </w:pPr>
      <w:r w:rsidRPr="00F85B22">
        <w:rPr>
          <w:rFonts w:ascii="方正仿宋_GBK" w:eastAsia="方正仿宋_GBK" w:hint="eastAsia"/>
          <w:sz w:val="32"/>
          <w:szCs w:val="32"/>
        </w:rPr>
        <w:t>2023年12月1日</w:t>
      </w:r>
      <w:r w:rsidR="00F85B22">
        <w:rPr>
          <w:rFonts w:ascii="方正仿宋_GBK" w:eastAsia="方正仿宋_GBK" w:hint="eastAsia"/>
          <w:sz w:val="32"/>
          <w:szCs w:val="32"/>
        </w:rPr>
        <w:t xml:space="preserve"> </w:t>
      </w:r>
    </w:p>
    <w:p w:rsidR="00462527" w:rsidRPr="00F85B22" w:rsidRDefault="00462527" w:rsidP="00F85B22">
      <w:pPr>
        <w:spacing w:line="520" w:lineRule="atLeast"/>
        <w:ind w:firstLineChars="200" w:firstLine="640"/>
        <w:rPr>
          <w:rFonts w:ascii="方正仿宋_GBK" w:eastAsia="方正仿宋_GBK" w:hint="eastAsia"/>
          <w:sz w:val="32"/>
          <w:szCs w:val="32"/>
        </w:rPr>
      </w:pPr>
    </w:p>
    <w:sectPr w:rsidR="00462527" w:rsidRPr="00F85B22" w:rsidSect="004625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E21"/>
    <w:rsid w:val="00013B5A"/>
    <w:rsid w:val="00185E21"/>
    <w:rsid w:val="00462527"/>
    <w:rsid w:val="005F4503"/>
    <w:rsid w:val="00F85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03"/>
  </w:style>
  <w:style w:type="paragraph" w:styleId="1">
    <w:name w:val="heading 1"/>
    <w:basedOn w:val="a"/>
    <w:next w:val="a"/>
    <w:link w:val="1Char"/>
    <w:uiPriority w:val="9"/>
    <w:qFormat/>
    <w:rsid w:val="005F4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F4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F45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F45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F45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F45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F45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F45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5F45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4503"/>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F4503"/>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5F4503"/>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5F450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5F450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5F450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5F450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5F4503"/>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5F450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4503"/>
    <w:pPr>
      <w:spacing w:line="240" w:lineRule="auto"/>
    </w:pPr>
    <w:rPr>
      <w:b/>
      <w:bCs/>
      <w:color w:val="4F81BD" w:themeColor="accent1"/>
      <w:sz w:val="18"/>
      <w:szCs w:val="18"/>
    </w:rPr>
  </w:style>
  <w:style w:type="paragraph" w:styleId="a4">
    <w:name w:val="Title"/>
    <w:basedOn w:val="a"/>
    <w:next w:val="a"/>
    <w:link w:val="Char"/>
    <w:uiPriority w:val="10"/>
    <w:qFormat/>
    <w:rsid w:val="005F4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5F450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5F4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5F4503"/>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5F4503"/>
    <w:rPr>
      <w:b/>
      <w:bCs/>
    </w:rPr>
  </w:style>
  <w:style w:type="character" w:styleId="a7">
    <w:name w:val="Emphasis"/>
    <w:basedOn w:val="a0"/>
    <w:uiPriority w:val="20"/>
    <w:qFormat/>
    <w:rsid w:val="005F4503"/>
    <w:rPr>
      <w:i/>
      <w:iCs/>
    </w:rPr>
  </w:style>
  <w:style w:type="paragraph" w:styleId="a8">
    <w:name w:val="No Spacing"/>
    <w:uiPriority w:val="1"/>
    <w:qFormat/>
    <w:rsid w:val="005F4503"/>
    <w:pPr>
      <w:spacing w:after="0" w:line="240" w:lineRule="auto"/>
    </w:pPr>
  </w:style>
  <w:style w:type="paragraph" w:styleId="a9">
    <w:name w:val="List Paragraph"/>
    <w:basedOn w:val="a"/>
    <w:uiPriority w:val="34"/>
    <w:qFormat/>
    <w:rsid w:val="005F4503"/>
    <w:pPr>
      <w:ind w:left="720"/>
      <w:contextualSpacing/>
    </w:pPr>
  </w:style>
  <w:style w:type="paragraph" w:styleId="aa">
    <w:name w:val="Quote"/>
    <w:basedOn w:val="a"/>
    <w:next w:val="a"/>
    <w:link w:val="Char1"/>
    <w:uiPriority w:val="29"/>
    <w:qFormat/>
    <w:rsid w:val="005F4503"/>
    <w:rPr>
      <w:i/>
      <w:iCs/>
      <w:color w:val="000000" w:themeColor="text1"/>
    </w:rPr>
  </w:style>
  <w:style w:type="character" w:customStyle="1" w:styleId="Char1">
    <w:name w:val="引用 Char"/>
    <w:basedOn w:val="a0"/>
    <w:link w:val="aa"/>
    <w:uiPriority w:val="29"/>
    <w:rsid w:val="005F4503"/>
    <w:rPr>
      <w:i/>
      <w:iCs/>
      <w:color w:val="000000" w:themeColor="text1"/>
    </w:rPr>
  </w:style>
  <w:style w:type="paragraph" w:styleId="ab">
    <w:name w:val="Intense Quote"/>
    <w:basedOn w:val="a"/>
    <w:next w:val="a"/>
    <w:link w:val="Char2"/>
    <w:uiPriority w:val="30"/>
    <w:qFormat/>
    <w:rsid w:val="005F450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5F4503"/>
    <w:rPr>
      <w:b/>
      <w:bCs/>
      <w:i/>
      <w:iCs/>
      <w:color w:val="4F81BD" w:themeColor="accent1"/>
    </w:rPr>
  </w:style>
  <w:style w:type="character" w:styleId="ac">
    <w:name w:val="Subtle Emphasis"/>
    <w:basedOn w:val="a0"/>
    <w:uiPriority w:val="19"/>
    <w:qFormat/>
    <w:rsid w:val="005F4503"/>
    <w:rPr>
      <w:i/>
      <w:iCs/>
      <w:color w:val="808080" w:themeColor="text1" w:themeTint="7F"/>
    </w:rPr>
  </w:style>
  <w:style w:type="character" w:styleId="ad">
    <w:name w:val="Intense Emphasis"/>
    <w:basedOn w:val="a0"/>
    <w:uiPriority w:val="21"/>
    <w:qFormat/>
    <w:rsid w:val="005F4503"/>
    <w:rPr>
      <w:b/>
      <w:bCs/>
      <w:i/>
      <w:iCs/>
      <w:color w:val="4F81BD" w:themeColor="accent1"/>
    </w:rPr>
  </w:style>
  <w:style w:type="character" w:styleId="ae">
    <w:name w:val="Subtle Reference"/>
    <w:basedOn w:val="a0"/>
    <w:uiPriority w:val="31"/>
    <w:qFormat/>
    <w:rsid w:val="005F4503"/>
    <w:rPr>
      <w:smallCaps/>
      <w:color w:val="C0504D" w:themeColor="accent2"/>
      <w:u w:val="single"/>
    </w:rPr>
  </w:style>
  <w:style w:type="character" w:styleId="af">
    <w:name w:val="Intense Reference"/>
    <w:basedOn w:val="a0"/>
    <w:uiPriority w:val="32"/>
    <w:qFormat/>
    <w:rsid w:val="005F4503"/>
    <w:rPr>
      <w:b/>
      <w:bCs/>
      <w:smallCaps/>
      <w:color w:val="C0504D" w:themeColor="accent2"/>
      <w:spacing w:val="5"/>
      <w:u w:val="single"/>
    </w:rPr>
  </w:style>
  <w:style w:type="character" w:styleId="af0">
    <w:name w:val="Book Title"/>
    <w:basedOn w:val="a0"/>
    <w:uiPriority w:val="33"/>
    <w:qFormat/>
    <w:rsid w:val="005F4503"/>
    <w:rPr>
      <w:b/>
      <w:bCs/>
      <w:smallCaps/>
      <w:spacing w:val="5"/>
    </w:rPr>
  </w:style>
  <w:style w:type="paragraph" w:styleId="TOC">
    <w:name w:val="TOC Heading"/>
    <w:basedOn w:val="1"/>
    <w:next w:val="a"/>
    <w:uiPriority w:val="39"/>
    <w:semiHidden/>
    <w:unhideWhenUsed/>
    <w:qFormat/>
    <w:rsid w:val="005F4503"/>
    <w:pPr>
      <w:outlineLvl w:val="9"/>
    </w:pPr>
  </w:style>
  <w:style w:type="paragraph" w:styleId="af1">
    <w:name w:val="Normal (Web)"/>
    <w:basedOn w:val="a"/>
    <w:uiPriority w:val="99"/>
    <w:semiHidden/>
    <w:unhideWhenUsed/>
    <w:rsid w:val="00185E21"/>
    <w:pPr>
      <w:spacing w:before="50" w:after="50" w:line="240" w:lineRule="auto"/>
    </w:pPr>
    <w:rPr>
      <w:rFonts w:ascii="宋体" w:eastAsia="宋体" w:hAnsi="宋体" w:cs="宋体"/>
      <w:sz w:val="24"/>
      <w:szCs w:val="24"/>
      <w:lang w:eastAsia="zh-CN" w:bidi="ar-SA"/>
    </w:rPr>
  </w:style>
  <w:style w:type="paragraph" w:customStyle="1" w:styleId="vsbcontentend">
    <w:name w:val="vsbcontent_end"/>
    <w:basedOn w:val="a"/>
    <w:rsid w:val="00185E21"/>
    <w:pPr>
      <w:spacing w:before="50" w:after="50"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1070006810">
      <w:bodyDiv w:val="1"/>
      <w:marLeft w:val="800"/>
      <w:marRight w:val="8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2024-01-12T00:48:00Z</dcterms:created>
  <dcterms:modified xsi:type="dcterms:W3CDTF">2024-01-12T00:51:00Z</dcterms:modified>
</cp:coreProperties>
</file>